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highlight w:val="none"/>
        </w:rPr>
      </w:pPr>
      <w:r>
        <w:rPr>
          <w:rFonts w:hint="eastAsia" w:ascii="仿宋_GB2312" w:eastAsia="仿宋_GB2312"/>
          <w:sz w:val="32"/>
          <w:highlight w:val="none"/>
          <w:lang w:val="en-US" w:eastAsia="zh-CN"/>
        </w:rPr>
        <w:t xml:space="preserve">                                  </w:t>
      </w:r>
      <w:r>
        <w:rPr>
          <w:rFonts w:hint="eastAsia" w:ascii="仿宋_GB2312" w:eastAsia="仿宋_GB2312"/>
          <w:sz w:val="32"/>
          <w:highlight w:val="none"/>
        </w:rPr>
        <w:t>是否同意公开：是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highlight w:val="none"/>
        </w:rPr>
      </w:pPr>
      <w:r>
        <w:rPr>
          <w:rFonts w:hint="eastAsia" w:ascii="仿宋_GB2312" w:eastAsia="仿宋_GB2312"/>
          <w:sz w:val="32"/>
          <w:highlight w:val="none"/>
        </w:rPr>
        <w:t xml:space="preserve">                                  办理结果：B</w:t>
      </w:r>
    </w:p>
    <w:p>
      <w:pPr>
        <w:spacing w:line="600" w:lineRule="exact"/>
        <w:ind w:firstLine="640" w:firstLineChars="200"/>
        <w:jc w:val="right"/>
        <w:rPr>
          <w:rFonts w:ascii="仿宋_GB2312" w:hAnsi="仿宋"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hAnsi="仿宋" w:eastAsia="仿宋_GB2312" w:cs="仿宋_GB2312"/>
          <w:sz w:val="32"/>
          <w:szCs w:val="32"/>
        </w:rPr>
        <w:t>冀水承〔2021〕</w:t>
      </w:r>
      <w:r>
        <w:rPr>
          <w:rFonts w:hint="eastAsia" w:ascii="仿宋_GB2312" w:eastAsia="仿宋_GB2312" w:cs="仿宋_GB2312"/>
          <w:sz w:val="32"/>
          <w:szCs w:val="32"/>
          <w:lang w:val="en-US" w:eastAsia="zh-CN"/>
        </w:rPr>
        <w:t>29</w:t>
      </w:r>
      <w:r>
        <w:rPr>
          <w:rFonts w:hint="eastAsia" w:ascii="仿宋_GB2312" w:hAnsi="仿宋" w:eastAsia="仿宋_GB2312" w:cs="仿宋_GB2312"/>
          <w:sz w:val="32"/>
          <w:szCs w:val="32"/>
        </w:rPr>
        <w:t>号</w:t>
      </w:r>
    </w:p>
    <w:p>
      <w:pPr>
        <w:spacing w:line="600" w:lineRule="exact"/>
        <w:jc w:val="left"/>
        <w:rPr>
          <w:rFonts w:cs="仿宋"/>
          <w:sz w:val="32"/>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文星标宋" w:eastAsia="方正小标宋简体" w:cs="文星标宋"/>
          <w:sz w:val="44"/>
          <w:szCs w:val="44"/>
        </w:rPr>
        <w:t>对</w:t>
      </w:r>
      <w:r>
        <w:rPr>
          <w:rFonts w:hint="eastAsia" w:ascii="方正小标宋简体" w:hAnsi="方正小标宋简体" w:eastAsia="方正小标宋简体" w:cs="方正小标宋简体"/>
          <w:sz w:val="44"/>
          <w:szCs w:val="44"/>
        </w:rPr>
        <w:t>河北省第十</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届</w:t>
      </w:r>
      <w:r>
        <w:rPr>
          <w:rFonts w:hint="eastAsia" w:ascii="方正小标宋简体" w:hAnsi="方正小标宋简体" w:eastAsia="方正小标宋简体" w:cs="方正小标宋简体"/>
          <w:sz w:val="44"/>
          <w:szCs w:val="44"/>
          <w:lang w:eastAsia="zh-CN"/>
        </w:rPr>
        <w:t>人民代表大会</w:t>
      </w:r>
    </w:p>
    <w:p>
      <w:pPr>
        <w:spacing w:line="600" w:lineRule="exact"/>
        <w:jc w:val="center"/>
        <w:rPr>
          <w:rFonts w:hint="eastAsia" w:ascii="方正小标宋简体" w:hAnsi="文星标宋" w:eastAsia="方正小标宋简体" w:cs="文星标宋"/>
          <w:sz w:val="44"/>
          <w:szCs w:val="44"/>
          <w:highlight w:val="none"/>
        </w:rPr>
      </w:pP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rPr>
        <w:t>四次会议</w:t>
      </w:r>
      <w:r>
        <w:rPr>
          <w:rFonts w:hint="eastAsia" w:ascii="方正小标宋简体" w:eastAsia="方正小标宋简体" w:cs="仿宋"/>
          <w:sz w:val="44"/>
          <w:szCs w:val="44"/>
        </w:rPr>
        <w:t>第</w:t>
      </w:r>
      <w:r>
        <w:rPr>
          <w:rFonts w:hint="eastAsia" w:ascii="方正小标宋简体" w:eastAsia="方正小标宋简体" w:cs="仿宋"/>
          <w:sz w:val="44"/>
          <w:szCs w:val="44"/>
          <w:lang w:val="en-US" w:eastAsia="zh-CN"/>
        </w:rPr>
        <w:t>1297</w:t>
      </w:r>
      <w:r>
        <w:rPr>
          <w:rFonts w:hint="eastAsia" w:ascii="方正小标宋简体" w:eastAsia="方正小标宋简体" w:cs="仿宋"/>
          <w:sz w:val="44"/>
          <w:szCs w:val="44"/>
        </w:rPr>
        <w:t>号</w:t>
      </w:r>
      <w:r>
        <w:rPr>
          <w:rFonts w:hint="eastAsia" w:ascii="方正小标宋简体" w:eastAsia="方正小标宋简体" w:cs="仿宋"/>
          <w:sz w:val="44"/>
          <w:szCs w:val="44"/>
          <w:lang w:eastAsia="zh-CN"/>
        </w:rPr>
        <w:t>建议</w:t>
      </w:r>
      <w:r>
        <w:rPr>
          <w:rFonts w:hint="eastAsia" w:ascii="方正小标宋简体" w:hAnsi="文星标宋" w:eastAsia="方正小标宋简体" w:cs="文星标宋"/>
          <w:sz w:val="44"/>
          <w:szCs w:val="44"/>
        </w:rPr>
        <w:t>的</w:t>
      </w:r>
      <w:r>
        <w:rPr>
          <w:rFonts w:hint="eastAsia" w:ascii="方正小标宋简体" w:hAnsi="文星标宋" w:eastAsia="方正小标宋简体" w:cs="文星标宋"/>
          <w:sz w:val="44"/>
          <w:szCs w:val="44"/>
          <w:highlight w:val="none"/>
        </w:rPr>
        <w:t>答复</w:t>
      </w:r>
    </w:p>
    <w:p>
      <w:pPr>
        <w:rPr>
          <w:rFonts w:hint="eastAsia" w:ascii="仿宋_GB2312" w:eastAsia="仿宋_GB2312" w:cs="仿宋"/>
          <w:sz w:val="32"/>
          <w:szCs w:val="32"/>
        </w:rPr>
      </w:pPr>
    </w:p>
    <w:p>
      <w:pPr>
        <w:rPr>
          <w:rFonts w:ascii="仿宋_GB2312" w:eastAsia="仿宋_GB2312"/>
          <w:sz w:val="32"/>
          <w:szCs w:val="32"/>
        </w:rPr>
      </w:pPr>
      <w:r>
        <w:rPr>
          <w:rFonts w:hint="eastAsia" w:ascii="仿宋_GB2312" w:eastAsia="仿宋_GB2312" w:cs="仿宋"/>
          <w:sz w:val="32"/>
          <w:szCs w:val="32"/>
        </w:rPr>
        <w:t>赵文庆代表</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您提出的“关于支持推进邯郸太行红河谷生态水网建设的建议”收悉，现答复如下：</w:t>
      </w:r>
    </w:p>
    <w:p>
      <w:pPr>
        <w:spacing w:line="600" w:lineRule="exact"/>
        <w:ind w:firstLine="640" w:firstLineChars="200"/>
        <w:jc w:val="left"/>
        <w:rPr>
          <w:rFonts w:ascii="仿宋_GB2312" w:hAnsi="等线" w:eastAsia="仿宋_GB2312"/>
          <w:sz w:val="32"/>
          <w:szCs w:val="32"/>
        </w:rPr>
      </w:pPr>
      <w:r>
        <w:rPr>
          <w:rFonts w:hint="eastAsia" w:ascii="仿宋_GB2312" w:hAnsi="Calibri" w:eastAsia="仿宋_GB2312"/>
          <w:color w:val="000000"/>
          <w:kern w:val="0"/>
          <w:sz w:val="32"/>
        </w:rPr>
        <w:t>我厅高度重视太行红河谷文化旅游经济带建设水安全保障工作，按照</w:t>
      </w:r>
      <w:r>
        <w:rPr>
          <w:rFonts w:hint="eastAsia" w:ascii="仿宋_GB2312" w:hAnsi="等线" w:eastAsia="仿宋_GB2312"/>
          <w:sz w:val="32"/>
          <w:szCs w:val="32"/>
        </w:rPr>
        <w:t>省领导的批示要求，积极履职尽责，推进相关工作开展。</w:t>
      </w:r>
    </w:p>
    <w:p>
      <w:pPr>
        <w:spacing w:line="600" w:lineRule="exact"/>
        <w:ind w:firstLine="643" w:firstLineChars="200"/>
        <w:jc w:val="left"/>
        <w:rPr>
          <w:rFonts w:ascii="仿宋_GB2312" w:hAnsi="Calibri" w:eastAsia="仿宋_GB2312"/>
          <w:color w:val="000000"/>
          <w:kern w:val="0"/>
          <w:sz w:val="32"/>
        </w:rPr>
      </w:pPr>
      <w:r>
        <w:rPr>
          <w:rFonts w:hint="eastAsia" w:ascii="仿宋_GB2312" w:hAnsi="Calibri" w:eastAsia="仿宋_GB2312"/>
          <w:b/>
          <w:bCs/>
          <w:color w:val="000000"/>
          <w:kern w:val="0"/>
          <w:sz w:val="32"/>
        </w:rPr>
        <w:t>一是赴现场实地调研。</w:t>
      </w:r>
      <w:r>
        <w:rPr>
          <w:rFonts w:hint="eastAsia" w:ascii="仿宋_GB2312" w:hAnsi="Calibri" w:eastAsia="仿宋_GB2312"/>
          <w:color w:val="000000"/>
          <w:kern w:val="0"/>
          <w:sz w:val="32"/>
        </w:rPr>
        <w:t>为加快</w:t>
      </w:r>
      <w:bookmarkStart w:id="0" w:name="_GoBack"/>
      <w:bookmarkEnd w:id="0"/>
      <w:r>
        <w:rPr>
          <w:rFonts w:hint="eastAsia" w:ascii="仿宋_GB2312" w:hAnsi="Calibri" w:eastAsia="仿宋_GB2312"/>
          <w:color w:val="000000"/>
          <w:kern w:val="0"/>
          <w:sz w:val="32"/>
        </w:rPr>
        <w:t>推进太行红河谷涉水工作开展，厅主管负责同志带队到邯郸现场调研，与水利局等单位就太行红河谷水源保障事宜进行了座谈，督促指导邯郸市政府抓紧编制引水方案。按照省政府要求，我厅组织对邯郸市政府提出的太行红河谷文化旅游经济带规划引水方案进行了认真研究，认为邯郸市政府提出的立足自身水资源条件解决用水问题的引水方案，是现实可行的，并将相关意见上报省政府。</w:t>
      </w:r>
    </w:p>
    <w:p>
      <w:pPr>
        <w:spacing w:line="600" w:lineRule="exact"/>
        <w:ind w:firstLine="643" w:firstLineChars="200"/>
        <w:jc w:val="left"/>
        <w:rPr>
          <w:rFonts w:ascii="仿宋_GB2312" w:hAnsi="Calibri" w:eastAsia="仿宋_GB2312"/>
          <w:color w:val="000000"/>
          <w:kern w:val="0"/>
          <w:sz w:val="32"/>
        </w:rPr>
      </w:pPr>
      <w:r>
        <w:rPr>
          <w:rFonts w:hint="eastAsia" w:ascii="仿宋_GB2312" w:hAnsi="Calibri" w:eastAsia="仿宋_GB2312"/>
          <w:b/>
          <w:bCs/>
          <w:color w:val="000000"/>
          <w:kern w:val="0"/>
          <w:sz w:val="32"/>
        </w:rPr>
        <w:t>二是督促指导项目建设。</w:t>
      </w:r>
      <w:r>
        <w:rPr>
          <w:rFonts w:hint="eastAsia" w:ascii="仿宋_GB2312" w:hAnsi="Calibri" w:eastAsia="仿宋_GB2312"/>
          <w:color w:val="000000"/>
          <w:kern w:val="0"/>
          <w:sz w:val="32"/>
        </w:rPr>
        <w:t>我厅印发通知，督促指导邯郸市细化工作任务，按照确定的建设目标，加快组织工程建设，确保今年5月底前完成收集利用清漳河沿岸现有鲟鱼养殖园区退水联通工程和茅岭底水库施工围堰截渗措施，解决太行红河谷文化旅游经济带近期用水问题。同时，茅岭底水库可研已经批复，正在加快推进前期工作，争取尽早实现项目开工建设。</w:t>
      </w:r>
    </w:p>
    <w:p>
      <w:pPr>
        <w:spacing w:line="600" w:lineRule="exact"/>
        <w:ind w:firstLine="640" w:firstLineChars="200"/>
        <w:jc w:val="left"/>
        <w:rPr>
          <w:rFonts w:ascii="仿宋_GB2312" w:hAnsi="Calibri" w:eastAsia="仿宋_GB2312"/>
          <w:color w:val="000000"/>
          <w:kern w:val="0"/>
          <w:sz w:val="32"/>
        </w:rPr>
      </w:pPr>
      <w:r>
        <w:rPr>
          <w:rFonts w:hint="eastAsia" w:ascii="仿宋_GB2312" w:hAnsi="Calibri" w:eastAsia="仿宋_GB2312"/>
          <w:color w:val="000000"/>
          <w:kern w:val="0"/>
          <w:sz w:val="32"/>
        </w:rPr>
        <w:t>下一步，我厅将按照职责分工，积极推进茅岭底水库前期工作，尽快组织审查批复茅岭底水库初设报告，力争尽快开工建设，为太行红河谷文化旅游经济带建设提供坚实的水源保障。同时，积极指导邯郸市政府尽快组织编制匡门口水电站项目建议书，为项目实施提供依据。</w:t>
      </w:r>
    </w:p>
    <w:p>
      <w:pPr>
        <w:spacing w:line="600" w:lineRule="exact"/>
        <w:ind w:firstLine="640" w:firstLineChars="200"/>
        <w:jc w:val="left"/>
        <w:rPr>
          <w:rFonts w:ascii="仿宋_GB2312" w:hAnsi="Calibri" w:eastAsia="仿宋_GB2312"/>
          <w:color w:val="000000"/>
          <w:kern w:val="0"/>
          <w:sz w:val="32"/>
        </w:rPr>
      </w:pPr>
    </w:p>
    <w:p>
      <w:pPr>
        <w:spacing w:line="600" w:lineRule="exact"/>
        <w:ind w:firstLine="640" w:firstLineChars="200"/>
        <w:jc w:val="left"/>
        <w:rPr>
          <w:rFonts w:ascii="仿宋_GB2312" w:hAnsi="Calibri" w:eastAsia="仿宋_GB2312"/>
          <w:color w:val="000000"/>
          <w:kern w:val="0"/>
          <w:sz w:val="32"/>
        </w:rPr>
      </w:pPr>
    </w:p>
    <w:p>
      <w:pPr>
        <w:spacing w:line="600" w:lineRule="exact"/>
        <w:jc w:val="left"/>
        <w:rPr>
          <w:rFonts w:hint="eastAsia" w:ascii="仿宋_GB2312" w:hAnsi="Calibri" w:eastAsia="仿宋_GB2312"/>
          <w:color w:val="000000"/>
          <w:kern w:val="0"/>
          <w:sz w:val="32"/>
        </w:rPr>
      </w:pPr>
    </w:p>
    <w:p>
      <w:pPr>
        <w:ind w:firstLine="5760" w:firstLineChars="1800"/>
        <w:rPr>
          <w:rFonts w:hint="eastAsia" w:ascii="仿宋_GB2312" w:eastAsia="仿宋_GB2312" w:cs="仿宋"/>
          <w:sz w:val="32"/>
          <w:szCs w:val="32"/>
          <w:lang w:eastAsia="zh-CN"/>
        </w:rPr>
      </w:pPr>
      <w:r>
        <w:rPr>
          <w:rFonts w:hint="eastAsia" w:ascii="仿宋_GB2312" w:eastAsia="仿宋_GB2312" w:cs="仿宋"/>
          <w:sz w:val="32"/>
          <w:szCs w:val="32"/>
          <w:lang w:eastAsia="zh-CN"/>
        </w:rPr>
        <w:t>河北省水利厅</w:t>
      </w:r>
    </w:p>
    <w:p>
      <w:pPr>
        <w:ind w:firstLine="5440" w:firstLineChars="1700"/>
        <w:rPr>
          <w:rFonts w:ascii="仿宋_GB2312" w:eastAsia="仿宋_GB2312" w:cs="仿宋"/>
          <w:sz w:val="32"/>
          <w:szCs w:val="32"/>
        </w:rPr>
      </w:pPr>
      <w:r>
        <w:rPr>
          <w:rFonts w:hint="eastAsia" w:ascii="仿宋_GB2312" w:eastAsia="仿宋_GB2312" w:cs="仿宋"/>
          <w:sz w:val="32"/>
          <w:szCs w:val="32"/>
        </w:rPr>
        <w:t>2021年5月</w:t>
      </w:r>
      <w:r>
        <w:rPr>
          <w:rFonts w:ascii="仿宋_GB2312" w:eastAsia="仿宋_GB2312" w:cs="仿宋"/>
          <w:sz w:val="32"/>
          <w:szCs w:val="32"/>
        </w:rPr>
        <w:t>28</w:t>
      </w:r>
      <w:r>
        <w:rPr>
          <w:rFonts w:hint="eastAsia" w:ascii="仿宋_GB2312" w:eastAsia="仿宋_GB2312" w:cs="仿宋"/>
          <w:sz w:val="32"/>
          <w:szCs w:val="32"/>
        </w:rPr>
        <w:t>日</w:t>
      </w:r>
    </w:p>
    <w:p>
      <w:pPr>
        <w:ind w:firstLine="5440" w:firstLineChars="1700"/>
        <w:rPr>
          <w:rFonts w:ascii="仿宋_GB2312" w:eastAsia="仿宋_GB2312" w:cs="仿宋"/>
          <w:sz w:val="32"/>
          <w:szCs w:val="32"/>
        </w:rPr>
      </w:pPr>
      <w:r>
        <w:rPr>
          <w:rFonts w:hint="eastAsia" w:ascii="仿宋_GB2312" w:eastAsia="仿宋_GB2312" w:cs="仿宋"/>
          <w:sz w:val="32"/>
          <w:szCs w:val="32"/>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highlight w:val="none"/>
          <w:lang w:eastAsia="zh-CN"/>
        </w:rPr>
      </w:pPr>
      <w:r>
        <w:rPr>
          <w:rFonts w:hint="eastAsia" w:ascii="仿宋_GB2312" w:hAnsi="仿宋_GB2312" w:eastAsia="仿宋_GB2312"/>
          <w:sz w:val="32"/>
          <w:highlight w:val="none"/>
          <w:lang w:eastAsia="zh-CN"/>
        </w:rPr>
        <w:t>分</w:t>
      </w:r>
      <w:r>
        <w:rPr>
          <w:rFonts w:hint="eastAsia" w:ascii="仿宋_GB2312" w:hAnsi="仿宋_GB2312" w:eastAsia="仿宋_GB2312"/>
          <w:sz w:val="32"/>
          <w:highlight w:val="none"/>
        </w:rPr>
        <w:t>管领导签发：</w:t>
      </w:r>
      <w:r>
        <w:rPr>
          <w:rFonts w:hint="eastAsia" w:ascii="仿宋_GB2312" w:hAnsi="仿宋_GB2312" w:eastAsia="仿宋_GB2312"/>
          <w:sz w:val="32"/>
          <w:highlight w:val="none"/>
          <w:lang w:eastAsia="zh-CN"/>
        </w:rPr>
        <w:t>张宝全。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rPr>
        <w:t>联系人及电话：</w:t>
      </w:r>
      <w:r>
        <w:rPr>
          <w:rFonts w:hint="eastAsia" w:ascii="仿宋_GB2312" w:eastAsia="仿宋_GB2312" w:cs="仿宋"/>
          <w:sz w:val="32"/>
          <w:szCs w:val="32"/>
        </w:rPr>
        <w:t>段书光</w:t>
      </w:r>
      <w:r>
        <w:rPr>
          <w:rFonts w:hint="eastAsia" w:ascii="仿宋_GB2312" w:eastAsia="仿宋_GB2312" w:cs="仿宋"/>
          <w:sz w:val="32"/>
          <w:szCs w:val="32"/>
          <w:lang w:eastAsia="zh-CN"/>
        </w:rPr>
        <w:t>，</w:t>
      </w:r>
      <w:r>
        <w:rPr>
          <w:rFonts w:hint="eastAsia" w:ascii="仿宋_GB2312" w:eastAsia="仿宋_GB2312" w:cs="仿宋"/>
          <w:sz w:val="32"/>
          <w:szCs w:val="32"/>
        </w:rPr>
        <w:t>0311-85185</w:t>
      </w:r>
      <w:r>
        <w:rPr>
          <w:rFonts w:ascii="仿宋_GB2312" w:eastAsia="仿宋_GB2312" w:cs="仿宋"/>
          <w:sz w:val="32"/>
          <w:szCs w:val="32"/>
        </w:rPr>
        <w:t>899</w:t>
      </w:r>
      <w:r>
        <w:rPr>
          <w:rFonts w:hint="eastAsia" w:ascii="仿宋_GB2312" w:hAns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eastAsia="zh-CN"/>
        </w:rPr>
        <w:t>抄送：省人大常委会选任代工委，省政府办公厅。</w:t>
      </w:r>
    </w:p>
    <w:p>
      <w:pPr>
        <w:spacing w:line="600" w:lineRule="exact"/>
        <w:ind w:firstLine="640" w:firstLineChars="200"/>
        <w:jc w:val="left"/>
        <w:rPr>
          <w:rFonts w:ascii="仿宋_GB2312" w:hAnsi="Calibri" w:eastAsia="仿宋_GB2312"/>
          <w:color w:val="000000"/>
          <w:kern w:val="0"/>
          <w:sz w:val="32"/>
        </w:rPr>
      </w:pPr>
    </w:p>
    <w:p>
      <w:pPr>
        <w:spacing w:line="640" w:lineRule="exact"/>
        <w:jc w:val="center"/>
        <w:rPr>
          <w:rFonts w:ascii="宋体" w:hAnsi="宋体"/>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201060900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4C"/>
    <w:rsid w:val="00340EAB"/>
    <w:rsid w:val="003E767D"/>
    <w:rsid w:val="00912076"/>
    <w:rsid w:val="00A4004C"/>
    <w:rsid w:val="00CC071F"/>
    <w:rsid w:val="00CC0C49"/>
    <w:rsid w:val="61CA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unhideWhenUsed/>
    <w:uiPriority w:val="99"/>
    <w:rPr>
      <w:rFonts w:ascii="宋体" w:hAnsi="Courier New"/>
      <w:szCs w:val="21"/>
    </w:rPr>
  </w:style>
  <w:style w:type="paragraph" w:styleId="3">
    <w:name w:val="index 9"/>
    <w:basedOn w:val="1"/>
    <w:next w:val="1"/>
    <w:qFormat/>
    <w:uiPriority w:val="0"/>
    <w:pPr>
      <w:ind w:left="1600" w:leftChars="1600"/>
    </w:pPr>
  </w:style>
  <w:style w:type="paragraph" w:styleId="4">
    <w:name w:val="Date"/>
    <w:basedOn w:val="1"/>
    <w:next w:val="1"/>
    <w:link w:val="11"/>
    <w:semiHidden/>
    <w:unhideWhenUsed/>
    <w:qFormat/>
    <w:uiPriority w:val="99"/>
    <w:pPr>
      <w:ind w:left="100" w:leftChars="2500"/>
    </w:p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日期 字符"/>
    <w:basedOn w:val="8"/>
    <w:link w:val="4"/>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600</Characters>
  <Lines>5</Lines>
  <Paragraphs>1</Paragraphs>
  <TotalTime>1</TotalTime>
  <ScaleCrop>false</ScaleCrop>
  <LinksUpToDate>false</LinksUpToDate>
  <CharactersWithSpaces>704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2021-05-12T01:44:00Z</dcterms:created>
  <dc:creator>duan shuguang</dc:creator>
  <cp:lastModifiedBy>高飞</cp:lastModifiedBy>
  <dcterms:modified xsi:type="dcterms:W3CDTF">2021-05-29T06:20:20Z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